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FF5" w:rsidRDefault="00036FF5" w:rsidP="00FB4E8C">
      <w:pPr>
        <w:pStyle w:val="Heading3"/>
        <w:jc w:val="both"/>
        <w:rPr>
          <w:rFonts w:ascii="Palatino Linotype" w:hAnsi="Palatino Linotype"/>
          <w:szCs w:val="24"/>
        </w:rPr>
      </w:pPr>
      <w:bookmarkStart w:id="0" w:name="_GoBack"/>
      <w:bookmarkEnd w:id="0"/>
      <w:r>
        <w:rPr>
          <w:noProof/>
        </w:rPr>
        <w:drawing>
          <wp:anchor distT="0" distB="0" distL="114300" distR="114300" simplePos="0" relativeHeight="251659264" behindDoc="0" locked="0" layoutInCell="1" allowOverlap="1" wp14:anchorId="3568DC1B" wp14:editId="12D0C729">
            <wp:simplePos x="0" y="0"/>
            <wp:positionH relativeFrom="margin">
              <wp:posOffset>1990725</wp:posOffset>
            </wp:positionH>
            <wp:positionV relativeFrom="paragraph">
              <wp:posOffset>85725</wp:posOffset>
            </wp:positionV>
            <wp:extent cx="1619250" cy="14909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 Council Logo 2019 - black-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250" cy="1490980"/>
                    </a:xfrm>
                    <a:prstGeom prst="rect">
                      <a:avLst/>
                    </a:prstGeom>
                  </pic:spPr>
                </pic:pic>
              </a:graphicData>
            </a:graphic>
            <wp14:sizeRelH relativeFrom="margin">
              <wp14:pctWidth>0</wp14:pctWidth>
            </wp14:sizeRelH>
            <wp14:sizeRelV relativeFrom="margin">
              <wp14:pctHeight>0</wp14:pctHeight>
            </wp14:sizeRelV>
          </wp:anchor>
        </w:drawing>
      </w:r>
    </w:p>
    <w:p w:rsidR="00036FF5" w:rsidRDefault="00036FF5" w:rsidP="00FB4E8C">
      <w:pPr>
        <w:pStyle w:val="Heading3"/>
        <w:jc w:val="both"/>
        <w:rPr>
          <w:rFonts w:ascii="Palatino Linotype" w:hAnsi="Palatino Linotype"/>
          <w:szCs w:val="24"/>
        </w:rPr>
      </w:pPr>
    </w:p>
    <w:p w:rsidR="00036FF5" w:rsidRDefault="00036FF5" w:rsidP="00FB4E8C">
      <w:pPr>
        <w:pStyle w:val="Heading3"/>
        <w:jc w:val="both"/>
        <w:rPr>
          <w:rFonts w:ascii="Palatino Linotype" w:hAnsi="Palatino Linotype"/>
          <w:szCs w:val="24"/>
        </w:rPr>
      </w:pPr>
    </w:p>
    <w:p w:rsidR="00036FF5" w:rsidRDefault="00036FF5" w:rsidP="00FB4E8C">
      <w:pPr>
        <w:pStyle w:val="Heading3"/>
        <w:jc w:val="both"/>
        <w:rPr>
          <w:rFonts w:ascii="Palatino Linotype" w:hAnsi="Palatino Linotype"/>
          <w:szCs w:val="24"/>
        </w:rPr>
      </w:pPr>
    </w:p>
    <w:p w:rsidR="00036FF5" w:rsidRDefault="00036FF5" w:rsidP="00FB4E8C">
      <w:pPr>
        <w:pStyle w:val="Heading3"/>
        <w:jc w:val="both"/>
        <w:rPr>
          <w:rFonts w:ascii="Palatino Linotype" w:hAnsi="Palatino Linotype"/>
          <w:szCs w:val="24"/>
        </w:rPr>
      </w:pPr>
    </w:p>
    <w:p w:rsidR="00036FF5" w:rsidRDefault="00036FF5" w:rsidP="00FB4E8C">
      <w:pPr>
        <w:pStyle w:val="Heading3"/>
        <w:jc w:val="both"/>
        <w:rPr>
          <w:rFonts w:ascii="Palatino Linotype" w:hAnsi="Palatino Linotype"/>
          <w:szCs w:val="24"/>
        </w:rPr>
      </w:pPr>
    </w:p>
    <w:p w:rsidR="00036FF5" w:rsidRDefault="00036FF5" w:rsidP="00FB4E8C">
      <w:pPr>
        <w:pStyle w:val="Heading3"/>
        <w:jc w:val="both"/>
        <w:rPr>
          <w:rFonts w:ascii="Palatino Linotype" w:hAnsi="Palatino Linotype"/>
          <w:szCs w:val="24"/>
        </w:rPr>
      </w:pPr>
    </w:p>
    <w:p w:rsidR="00036FF5" w:rsidRDefault="00036FF5" w:rsidP="00FB4E8C">
      <w:pPr>
        <w:pStyle w:val="Heading3"/>
        <w:rPr>
          <w:rFonts w:ascii="Palatino Linotype" w:hAnsi="Palatino Linotype"/>
          <w:szCs w:val="24"/>
        </w:rPr>
      </w:pPr>
    </w:p>
    <w:p w:rsidR="00036FF5" w:rsidRPr="00036FF5" w:rsidRDefault="00036FF5" w:rsidP="00FB4E8C">
      <w:pPr>
        <w:pStyle w:val="Heading3"/>
        <w:rPr>
          <w:rFonts w:ascii="Palatino Linotype" w:hAnsi="Palatino Linotype"/>
          <w:szCs w:val="24"/>
        </w:rPr>
      </w:pPr>
      <w:r w:rsidRPr="00036FF5">
        <w:rPr>
          <w:rFonts w:ascii="Palatino Linotype" w:hAnsi="Palatino Linotype"/>
          <w:szCs w:val="24"/>
        </w:rPr>
        <w:t>Notice of 201</w:t>
      </w:r>
      <w:r>
        <w:rPr>
          <w:rFonts w:ascii="Palatino Linotype" w:hAnsi="Palatino Linotype"/>
          <w:szCs w:val="24"/>
        </w:rPr>
        <w:t>9</w:t>
      </w:r>
      <w:r w:rsidRPr="00036FF5">
        <w:rPr>
          <w:rFonts w:ascii="Palatino Linotype" w:hAnsi="Palatino Linotype"/>
          <w:szCs w:val="24"/>
        </w:rPr>
        <w:t xml:space="preserve"> Annual General Meeting</w:t>
      </w:r>
    </w:p>
    <w:p w:rsidR="00036FF5" w:rsidRPr="00036FF5" w:rsidRDefault="00036FF5" w:rsidP="00FB4E8C">
      <w:pPr>
        <w:jc w:val="both"/>
        <w:rPr>
          <w:rFonts w:ascii="Palatino Linotype" w:hAnsi="Palatino Linotype" w:cs="Arial"/>
          <w:sz w:val="24"/>
          <w:szCs w:val="24"/>
        </w:rPr>
      </w:pPr>
      <w:r w:rsidRPr="00036FF5">
        <w:rPr>
          <w:rFonts w:ascii="Palatino Linotype" w:hAnsi="Palatino Linotype" w:cs="Arial"/>
          <w:sz w:val="24"/>
          <w:szCs w:val="24"/>
        </w:rPr>
        <w:t xml:space="preserve">  </w:t>
      </w:r>
    </w:p>
    <w:p w:rsidR="00036FF5" w:rsidRPr="00036FF5" w:rsidRDefault="00036FF5" w:rsidP="00FB4E8C">
      <w:pPr>
        <w:jc w:val="both"/>
        <w:rPr>
          <w:rFonts w:ascii="Palatino Linotype" w:hAnsi="Palatino Linotype" w:cs="Arial"/>
          <w:sz w:val="24"/>
          <w:szCs w:val="24"/>
        </w:rPr>
      </w:pPr>
    </w:p>
    <w:p w:rsidR="00036FF5" w:rsidRPr="00036FF5" w:rsidRDefault="00036FF5" w:rsidP="00FB4E8C">
      <w:pPr>
        <w:jc w:val="both"/>
        <w:rPr>
          <w:rFonts w:ascii="Palatino Linotype" w:hAnsi="Palatino Linotype" w:cs="Arial"/>
          <w:sz w:val="24"/>
          <w:szCs w:val="24"/>
        </w:rPr>
      </w:pPr>
      <w:r w:rsidRPr="00036FF5">
        <w:rPr>
          <w:rFonts w:ascii="Palatino Linotype" w:hAnsi="Palatino Linotype" w:cs="Arial"/>
          <w:b/>
          <w:sz w:val="24"/>
          <w:szCs w:val="24"/>
        </w:rPr>
        <w:t xml:space="preserve">The Annual General Meeting (AGM) of the Bar of England and Wales will be held at 11.00 on </w:t>
      </w:r>
      <w:r w:rsidRPr="00036FF5">
        <w:rPr>
          <w:rFonts w:ascii="Palatino Linotype" w:hAnsi="Palatino Linotype" w:cs="Arial"/>
          <w:b/>
          <w:bCs/>
          <w:sz w:val="24"/>
          <w:szCs w:val="24"/>
        </w:rPr>
        <w:t xml:space="preserve">Saturday </w:t>
      </w:r>
      <w:r>
        <w:rPr>
          <w:rFonts w:ascii="Palatino Linotype" w:hAnsi="Palatino Linotype" w:cs="Arial"/>
          <w:b/>
          <w:bCs/>
          <w:sz w:val="24"/>
          <w:szCs w:val="24"/>
        </w:rPr>
        <w:t>7</w:t>
      </w:r>
      <w:r w:rsidRPr="00036FF5">
        <w:rPr>
          <w:rFonts w:ascii="Palatino Linotype" w:hAnsi="Palatino Linotype" w:cs="Arial"/>
          <w:b/>
          <w:bCs/>
          <w:sz w:val="24"/>
          <w:szCs w:val="24"/>
        </w:rPr>
        <w:t xml:space="preserve"> September 201</w:t>
      </w:r>
      <w:r>
        <w:rPr>
          <w:rFonts w:ascii="Palatino Linotype" w:hAnsi="Palatino Linotype" w:cs="Arial"/>
          <w:b/>
          <w:bCs/>
          <w:sz w:val="24"/>
          <w:szCs w:val="24"/>
        </w:rPr>
        <w:t>9</w:t>
      </w:r>
      <w:r w:rsidRPr="00036FF5">
        <w:rPr>
          <w:rFonts w:ascii="Palatino Linotype" w:hAnsi="Palatino Linotype" w:cs="Arial"/>
          <w:sz w:val="24"/>
          <w:szCs w:val="24"/>
        </w:rPr>
        <w:t xml:space="preserve"> in </w:t>
      </w:r>
      <w:r>
        <w:rPr>
          <w:rFonts w:ascii="Palatino Linotype" w:hAnsi="Palatino Linotype" w:cs="Arial"/>
          <w:sz w:val="24"/>
          <w:szCs w:val="24"/>
        </w:rPr>
        <w:t>The Old Hall, Lincoln’s</w:t>
      </w:r>
      <w:r w:rsidRPr="00036FF5">
        <w:rPr>
          <w:rFonts w:ascii="Palatino Linotype" w:hAnsi="Palatino Linotype" w:cs="Arial"/>
          <w:sz w:val="24"/>
          <w:szCs w:val="24"/>
        </w:rPr>
        <w:t xml:space="preserve"> Inn.  It will be preceded by a meeting of the Bar Council.</w:t>
      </w:r>
    </w:p>
    <w:p w:rsidR="00036FF5" w:rsidRPr="00036FF5" w:rsidRDefault="00036FF5" w:rsidP="00FB4E8C">
      <w:pPr>
        <w:jc w:val="both"/>
        <w:rPr>
          <w:rFonts w:ascii="Palatino Linotype" w:hAnsi="Palatino Linotype" w:cs="Arial"/>
          <w:sz w:val="24"/>
          <w:szCs w:val="24"/>
        </w:rPr>
      </w:pPr>
    </w:p>
    <w:p w:rsidR="00036FF5" w:rsidRPr="00036FF5" w:rsidRDefault="00036FF5" w:rsidP="00FB4E8C">
      <w:pPr>
        <w:pStyle w:val="BodyText"/>
        <w:rPr>
          <w:rFonts w:ascii="Palatino Linotype" w:hAnsi="Palatino Linotype"/>
          <w:sz w:val="24"/>
          <w:szCs w:val="24"/>
        </w:rPr>
      </w:pPr>
      <w:r w:rsidRPr="00036FF5">
        <w:rPr>
          <w:rFonts w:ascii="Palatino Linotype" w:hAnsi="Palatino Linotype"/>
          <w:sz w:val="24"/>
          <w:szCs w:val="24"/>
        </w:rPr>
        <w:t xml:space="preserve">The agenda for the AGM will be </w:t>
      </w:r>
      <w:r w:rsidR="005B2ACE">
        <w:rPr>
          <w:rFonts w:ascii="Palatino Linotype" w:hAnsi="Palatino Linotype"/>
          <w:sz w:val="24"/>
          <w:szCs w:val="24"/>
        </w:rPr>
        <w:t>made available</w:t>
      </w:r>
      <w:r w:rsidRPr="00036FF5">
        <w:rPr>
          <w:rFonts w:ascii="Palatino Linotype" w:hAnsi="Palatino Linotype"/>
          <w:sz w:val="24"/>
          <w:szCs w:val="24"/>
        </w:rPr>
        <w:t xml:space="preserve"> to </w:t>
      </w:r>
      <w:r>
        <w:rPr>
          <w:rFonts w:ascii="Palatino Linotype" w:hAnsi="Palatino Linotype"/>
          <w:sz w:val="24"/>
          <w:szCs w:val="24"/>
        </w:rPr>
        <w:t>Subscribers</w:t>
      </w:r>
      <w:r w:rsidRPr="00036FF5">
        <w:rPr>
          <w:rFonts w:ascii="Palatino Linotype" w:hAnsi="Palatino Linotype"/>
          <w:sz w:val="24"/>
          <w:szCs w:val="24"/>
        </w:rPr>
        <w:t>, Circuits</w:t>
      </w:r>
      <w:r w:rsidR="00D714D6">
        <w:rPr>
          <w:rFonts w:ascii="Palatino Linotype" w:hAnsi="Palatino Linotype"/>
          <w:sz w:val="24"/>
          <w:szCs w:val="24"/>
        </w:rPr>
        <w:t xml:space="preserve">, </w:t>
      </w:r>
      <w:r w:rsidRPr="00036FF5">
        <w:rPr>
          <w:rFonts w:ascii="Palatino Linotype" w:hAnsi="Palatino Linotype"/>
          <w:sz w:val="24"/>
          <w:szCs w:val="24"/>
        </w:rPr>
        <w:t xml:space="preserve">Specialist Bar Associations and the Inns of Court as soon as possible after </w:t>
      </w:r>
      <w:r w:rsidRPr="00036FF5">
        <w:rPr>
          <w:rFonts w:ascii="Palatino Linotype" w:hAnsi="Palatino Linotype"/>
          <w:b/>
          <w:sz w:val="24"/>
          <w:szCs w:val="24"/>
        </w:rPr>
        <w:t xml:space="preserve">the closing date for resolutions on Friday </w:t>
      </w:r>
      <w:r w:rsidR="005B2ACE">
        <w:rPr>
          <w:rFonts w:ascii="Palatino Linotype" w:hAnsi="Palatino Linotype"/>
          <w:b/>
          <w:sz w:val="24"/>
          <w:szCs w:val="24"/>
        </w:rPr>
        <w:t>16 August</w:t>
      </w:r>
      <w:r>
        <w:rPr>
          <w:rFonts w:ascii="Palatino Linotype" w:hAnsi="Palatino Linotype"/>
          <w:b/>
          <w:sz w:val="24"/>
          <w:szCs w:val="24"/>
        </w:rPr>
        <w:t xml:space="preserve"> 2019</w:t>
      </w:r>
      <w:r w:rsidRPr="00036FF5">
        <w:rPr>
          <w:rFonts w:ascii="Palatino Linotype" w:hAnsi="Palatino Linotype"/>
          <w:sz w:val="24"/>
          <w:szCs w:val="24"/>
        </w:rPr>
        <w:t>. In accordance with Part II, paragraph 15 of the Constitution, the Bar Council shall present its annual report and accounts at this meeting.</w:t>
      </w:r>
    </w:p>
    <w:p w:rsidR="00036FF5" w:rsidRPr="00036FF5" w:rsidRDefault="00036FF5" w:rsidP="00FB4E8C">
      <w:pPr>
        <w:pStyle w:val="BodyText"/>
        <w:rPr>
          <w:rFonts w:ascii="Palatino Linotype" w:hAnsi="Palatino Linotype"/>
          <w:sz w:val="24"/>
          <w:szCs w:val="24"/>
        </w:rPr>
      </w:pPr>
    </w:p>
    <w:p w:rsidR="00036FF5" w:rsidRPr="00036FF5" w:rsidRDefault="00036FF5" w:rsidP="00FB4E8C">
      <w:pPr>
        <w:pStyle w:val="BodyText"/>
        <w:rPr>
          <w:rStyle w:val="characterstyle150"/>
          <w:rFonts w:ascii="Palatino Linotype" w:hAnsi="Palatino Linotype"/>
          <w:iCs/>
          <w:sz w:val="24"/>
          <w:szCs w:val="24"/>
        </w:rPr>
      </w:pPr>
      <w:r w:rsidRPr="00036FF5">
        <w:rPr>
          <w:rFonts w:ascii="Palatino Linotype" w:hAnsi="Palatino Linotype"/>
          <w:iCs/>
          <w:sz w:val="24"/>
          <w:szCs w:val="24"/>
        </w:rPr>
        <w:t xml:space="preserve">Regulation 31(c) of Part II of the Constitution of the General Council of the Bar states that the </w:t>
      </w:r>
      <w:r w:rsidRPr="00036FF5">
        <w:rPr>
          <w:rStyle w:val="characterstyle150"/>
          <w:rFonts w:ascii="Palatino Linotype" w:hAnsi="Palatino Linotype"/>
          <w:iCs/>
          <w:sz w:val="24"/>
          <w:szCs w:val="24"/>
        </w:rPr>
        <w:t>terms of any alteration to the Regulations in the Constitution shall be notified to all Subscribers in the notice convening the General Meeting (whether Annual or Extraordinary) next following the meeting of the Bar Council at which the alteration was made.  </w:t>
      </w:r>
    </w:p>
    <w:p w:rsidR="00036FF5" w:rsidRPr="00036FF5" w:rsidRDefault="00036FF5" w:rsidP="00FB4E8C">
      <w:pPr>
        <w:pStyle w:val="BodyText"/>
        <w:rPr>
          <w:rStyle w:val="characterstyle150"/>
          <w:rFonts w:ascii="Palatino Linotype" w:hAnsi="Palatino Linotype"/>
          <w:iCs/>
          <w:sz w:val="24"/>
          <w:szCs w:val="24"/>
        </w:rPr>
      </w:pPr>
    </w:p>
    <w:p w:rsidR="00036FF5" w:rsidRPr="00036FF5" w:rsidRDefault="00036FF5" w:rsidP="00FB4E8C">
      <w:pPr>
        <w:pStyle w:val="BodyText"/>
        <w:rPr>
          <w:rFonts w:ascii="Palatino Linotype" w:hAnsi="Palatino Linotype" w:cs="Times New Roman"/>
          <w:iCs/>
          <w:sz w:val="24"/>
          <w:szCs w:val="24"/>
        </w:rPr>
      </w:pPr>
      <w:r w:rsidRPr="00036FF5">
        <w:rPr>
          <w:rStyle w:val="characterstyle150"/>
          <w:rFonts w:ascii="Palatino Linotype" w:hAnsi="Palatino Linotype"/>
          <w:iCs/>
          <w:sz w:val="24"/>
          <w:szCs w:val="24"/>
        </w:rPr>
        <w:t xml:space="preserve">In compliance with that undertaking, this notice confirms that on Saturday </w:t>
      </w:r>
      <w:r>
        <w:rPr>
          <w:rStyle w:val="characterstyle150"/>
          <w:rFonts w:ascii="Palatino Linotype" w:hAnsi="Palatino Linotype"/>
          <w:iCs/>
          <w:sz w:val="24"/>
          <w:szCs w:val="24"/>
        </w:rPr>
        <w:t>9 February 2019</w:t>
      </w:r>
      <w:r w:rsidRPr="00036FF5">
        <w:rPr>
          <w:rStyle w:val="characterstyle150"/>
          <w:rFonts w:ascii="Palatino Linotype" w:hAnsi="Palatino Linotype"/>
          <w:iCs/>
          <w:sz w:val="24"/>
          <w:szCs w:val="24"/>
        </w:rPr>
        <w:t xml:space="preserve"> </w:t>
      </w:r>
      <w:r>
        <w:rPr>
          <w:rFonts w:ascii="Palatino Linotype" w:hAnsi="Palatino Linotype"/>
          <w:sz w:val="24"/>
          <w:szCs w:val="24"/>
        </w:rPr>
        <w:t>the members of the Bar Council unanimously agreed to the changes proposed by the Head of Governance to allow for online voting in officer and subscriber elections.</w:t>
      </w:r>
    </w:p>
    <w:p w:rsidR="00036FF5" w:rsidRDefault="00036FF5" w:rsidP="00FB4E8C">
      <w:pPr>
        <w:jc w:val="both"/>
        <w:rPr>
          <w:rFonts w:ascii="Palatino Linotype" w:hAnsi="Palatino Linotype"/>
          <w:sz w:val="24"/>
          <w:szCs w:val="24"/>
        </w:rPr>
      </w:pPr>
      <w:r>
        <w:rPr>
          <w:rFonts w:ascii="Palatino Linotype" w:hAnsi="Palatino Linotype"/>
          <w:sz w:val="24"/>
          <w:szCs w:val="24"/>
        </w:rPr>
        <w:t xml:space="preserve">It was explained that the changes would come into effect from the time of the Subscriber elections for 2020 and would, thereafter, </w:t>
      </w:r>
      <w:r w:rsidR="00CD4D55">
        <w:rPr>
          <w:rFonts w:ascii="Palatino Linotype" w:hAnsi="Palatino Linotype"/>
          <w:sz w:val="24"/>
          <w:szCs w:val="24"/>
        </w:rPr>
        <w:t xml:space="preserve">apply to </w:t>
      </w:r>
      <w:r>
        <w:rPr>
          <w:rFonts w:ascii="Palatino Linotype" w:hAnsi="Palatino Linotype"/>
          <w:sz w:val="24"/>
          <w:szCs w:val="24"/>
        </w:rPr>
        <w:t>Officer and Subscriber elections.</w:t>
      </w:r>
    </w:p>
    <w:p w:rsidR="00036FF5" w:rsidRDefault="00036FF5" w:rsidP="00FB4E8C">
      <w:pPr>
        <w:jc w:val="both"/>
        <w:rPr>
          <w:rFonts w:ascii="Palatino Linotype" w:hAnsi="Palatino Linotype"/>
          <w:sz w:val="24"/>
          <w:szCs w:val="24"/>
        </w:rPr>
      </w:pPr>
    </w:p>
    <w:p w:rsidR="00036FF5" w:rsidRPr="005D3D8E" w:rsidRDefault="00036FF5" w:rsidP="00FB4E8C">
      <w:pPr>
        <w:pStyle w:val="NoSpacing"/>
        <w:jc w:val="both"/>
        <w:rPr>
          <w:rFonts w:ascii="Palatino Linotype" w:hAnsi="Palatino Linotype"/>
          <w:sz w:val="24"/>
          <w:szCs w:val="24"/>
        </w:rPr>
      </w:pPr>
      <w:r w:rsidRPr="005D3D8E">
        <w:rPr>
          <w:rFonts w:ascii="Palatino Linotype" w:hAnsi="Palatino Linotype"/>
          <w:sz w:val="24"/>
          <w:szCs w:val="24"/>
        </w:rPr>
        <w:t xml:space="preserve">For the Officer elections, </w:t>
      </w:r>
      <w:r>
        <w:rPr>
          <w:rFonts w:ascii="Palatino Linotype" w:hAnsi="Palatino Linotype"/>
          <w:sz w:val="24"/>
          <w:szCs w:val="24"/>
        </w:rPr>
        <w:t>no changes were</w:t>
      </w:r>
      <w:r w:rsidRPr="005D3D8E">
        <w:rPr>
          <w:rFonts w:ascii="Palatino Linotype" w:hAnsi="Palatino Linotype"/>
          <w:sz w:val="24"/>
          <w:szCs w:val="24"/>
        </w:rPr>
        <w:t xml:space="preserve"> needed to the wording in the Constitution which reads </w:t>
      </w:r>
      <w:r w:rsidRPr="005D3D8E">
        <w:rPr>
          <w:rFonts w:ascii="Palatino Linotype" w:hAnsi="Palatino Linotype"/>
          <w:i/>
          <w:sz w:val="24"/>
          <w:szCs w:val="24"/>
        </w:rPr>
        <w:t>“contested elections shall be conducted by ballot with the Chief Executive acting as a returning officer and, if there are more than two candidates, by single transferable vote”</w:t>
      </w:r>
      <w:r w:rsidRPr="005D3D8E">
        <w:rPr>
          <w:rFonts w:ascii="Palatino Linotype" w:hAnsi="Palatino Linotype"/>
          <w:sz w:val="24"/>
          <w:szCs w:val="24"/>
        </w:rPr>
        <w:t xml:space="preserve"> (Part II, paragraph 11(b)).  </w:t>
      </w:r>
    </w:p>
    <w:p w:rsidR="00036FF5" w:rsidRDefault="00036FF5" w:rsidP="00FB4E8C">
      <w:pPr>
        <w:pStyle w:val="NoSpacing"/>
        <w:jc w:val="both"/>
        <w:rPr>
          <w:rFonts w:ascii="Palatino Linotype" w:hAnsi="Palatino Linotype"/>
          <w:sz w:val="24"/>
          <w:szCs w:val="24"/>
        </w:rPr>
      </w:pPr>
    </w:p>
    <w:p w:rsidR="00036FF5" w:rsidRPr="005D3D8E" w:rsidRDefault="00036FF5" w:rsidP="00FB4E8C">
      <w:pPr>
        <w:pStyle w:val="NoSpacing"/>
        <w:jc w:val="both"/>
        <w:rPr>
          <w:rFonts w:ascii="Palatino Linotype" w:hAnsi="Palatino Linotype"/>
          <w:sz w:val="24"/>
          <w:szCs w:val="24"/>
        </w:rPr>
      </w:pPr>
      <w:r w:rsidRPr="005D3D8E">
        <w:rPr>
          <w:rFonts w:ascii="Palatino Linotype" w:hAnsi="Palatino Linotype"/>
          <w:sz w:val="24"/>
          <w:szCs w:val="24"/>
        </w:rPr>
        <w:t>For the Subscriber elections</w:t>
      </w:r>
      <w:r>
        <w:rPr>
          <w:rFonts w:ascii="Palatino Linotype" w:hAnsi="Palatino Linotype"/>
          <w:sz w:val="24"/>
          <w:szCs w:val="24"/>
        </w:rPr>
        <w:t>, however, the wording in Schedule 1, paragraphs 13-15, was amended as set out below</w:t>
      </w:r>
      <w:r w:rsidRPr="005D3D8E">
        <w:rPr>
          <w:rFonts w:ascii="Palatino Linotype" w:hAnsi="Palatino Linotype"/>
          <w:sz w:val="24"/>
          <w:szCs w:val="24"/>
        </w:rPr>
        <w:t xml:space="preserve"> (new wording is underlined and removed wording has been struck through):</w:t>
      </w:r>
    </w:p>
    <w:p w:rsidR="00036FF5" w:rsidRPr="005D3D8E" w:rsidRDefault="00036FF5" w:rsidP="00FB4E8C">
      <w:pPr>
        <w:pStyle w:val="NoSpacing"/>
        <w:jc w:val="both"/>
        <w:rPr>
          <w:rFonts w:ascii="Palatino Linotype" w:hAnsi="Palatino Linotype"/>
          <w:sz w:val="24"/>
          <w:szCs w:val="24"/>
        </w:rPr>
      </w:pPr>
    </w:p>
    <w:p w:rsidR="00036FF5" w:rsidRPr="005D3D8E" w:rsidRDefault="00036FF5" w:rsidP="00FB4E8C">
      <w:pPr>
        <w:pStyle w:val="NoSpacing"/>
        <w:ind w:left="683" w:firstLine="37"/>
        <w:jc w:val="both"/>
        <w:rPr>
          <w:rFonts w:ascii="Palatino Linotype" w:hAnsi="Palatino Linotype"/>
          <w:sz w:val="24"/>
          <w:szCs w:val="24"/>
        </w:rPr>
      </w:pPr>
      <w:r w:rsidRPr="005D3D8E">
        <w:rPr>
          <w:rFonts w:ascii="Palatino Linotype" w:hAnsi="Palatino Linotype"/>
          <w:sz w:val="24"/>
          <w:szCs w:val="24"/>
        </w:rPr>
        <w:lastRenderedPageBreak/>
        <w:t>a.</w:t>
      </w:r>
      <w:r w:rsidRPr="005D3D8E">
        <w:rPr>
          <w:rFonts w:ascii="Palatino Linotype" w:hAnsi="Palatino Linotype"/>
          <w:sz w:val="24"/>
          <w:szCs w:val="24"/>
        </w:rPr>
        <w:tab/>
        <w:t>Schedule 1, paragraphs 13-15 of the Bar Council Constitution:</w:t>
      </w:r>
    </w:p>
    <w:p w:rsidR="00036FF5" w:rsidRPr="005D3D8E" w:rsidRDefault="00036FF5" w:rsidP="00FB4E8C">
      <w:pPr>
        <w:pStyle w:val="NoSpacing"/>
        <w:ind w:firstLine="720"/>
        <w:jc w:val="both"/>
        <w:rPr>
          <w:rFonts w:ascii="Palatino Linotype" w:hAnsi="Palatino Linotype"/>
          <w:sz w:val="24"/>
          <w:szCs w:val="24"/>
        </w:rPr>
      </w:pPr>
    </w:p>
    <w:p w:rsidR="00036FF5" w:rsidRPr="005D3D8E" w:rsidRDefault="00036FF5" w:rsidP="00FB4E8C">
      <w:pPr>
        <w:pStyle w:val="NoSpacing"/>
        <w:ind w:left="720"/>
        <w:jc w:val="both"/>
        <w:rPr>
          <w:rFonts w:ascii="Palatino Linotype" w:hAnsi="Palatino Linotype"/>
          <w:sz w:val="24"/>
          <w:szCs w:val="24"/>
        </w:rPr>
      </w:pPr>
      <w:r w:rsidRPr="005D3D8E">
        <w:rPr>
          <w:rFonts w:ascii="Palatino Linotype" w:hAnsi="Palatino Linotype"/>
          <w:sz w:val="24"/>
          <w:szCs w:val="24"/>
        </w:rPr>
        <w:t>13.</w:t>
      </w:r>
      <w:r w:rsidRPr="005D3D8E">
        <w:rPr>
          <w:rFonts w:ascii="Palatino Linotype" w:hAnsi="Palatino Linotype"/>
          <w:sz w:val="24"/>
          <w:szCs w:val="24"/>
        </w:rPr>
        <w:tab/>
      </w:r>
      <w:r w:rsidRPr="005D3D8E">
        <w:rPr>
          <w:rFonts w:ascii="Palatino Linotype" w:hAnsi="Palatino Linotype"/>
          <w:sz w:val="24"/>
          <w:szCs w:val="24"/>
          <w:u w:val="single"/>
        </w:rPr>
        <w:t>Online voting shall be completed</w:t>
      </w:r>
      <w:r w:rsidRPr="005D3D8E">
        <w:rPr>
          <w:rFonts w:ascii="Palatino Linotype" w:hAnsi="Palatino Linotype"/>
          <w:sz w:val="24"/>
          <w:szCs w:val="24"/>
        </w:rPr>
        <w:t xml:space="preserve"> </w:t>
      </w:r>
      <w:r w:rsidRPr="005D3D8E">
        <w:rPr>
          <w:rFonts w:ascii="Palatino Linotype" w:hAnsi="Palatino Linotype"/>
          <w:strike/>
          <w:sz w:val="24"/>
          <w:szCs w:val="24"/>
        </w:rPr>
        <w:t>All ballot papers when filled in and signed shall either be returned to the offices of the Bar Council or emailed to the elections inbox address</w:t>
      </w:r>
      <w:r w:rsidRPr="005D3D8E">
        <w:rPr>
          <w:rFonts w:ascii="Palatino Linotype" w:hAnsi="Palatino Linotype"/>
          <w:sz w:val="24"/>
          <w:szCs w:val="24"/>
        </w:rPr>
        <w:t xml:space="preserve"> not later than 19 October or (if 19 October falls on a Saturday, Sunday or bank holiday) by 10 am on the next working day. </w:t>
      </w:r>
    </w:p>
    <w:p w:rsidR="00036FF5" w:rsidRPr="005D3D8E" w:rsidRDefault="00036FF5" w:rsidP="00FB4E8C">
      <w:pPr>
        <w:pStyle w:val="NoSpacing"/>
        <w:ind w:left="720"/>
        <w:jc w:val="both"/>
        <w:rPr>
          <w:rFonts w:ascii="Palatino Linotype" w:hAnsi="Palatino Linotype"/>
          <w:sz w:val="24"/>
          <w:szCs w:val="24"/>
        </w:rPr>
      </w:pPr>
    </w:p>
    <w:p w:rsidR="00036FF5" w:rsidRPr="005D3D8E" w:rsidRDefault="00036FF5" w:rsidP="00FB4E8C">
      <w:pPr>
        <w:pStyle w:val="NoSpacing"/>
        <w:ind w:left="720"/>
        <w:jc w:val="both"/>
        <w:rPr>
          <w:rFonts w:ascii="Palatino Linotype" w:hAnsi="Palatino Linotype"/>
          <w:sz w:val="24"/>
          <w:szCs w:val="24"/>
        </w:rPr>
      </w:pPr>
      <w:r w:rsidRPr="005D3D8E">
        <w:rPr>
          <w:rFonts w:ascii="Palatino Linotype" w:hAnsi="Palatino Linotype"/>
          <w:sz w:val="24"/>
          <w:szCs w:val="24"/>
        </w:rPr>
        <w:t xml:space="preserve">14. </w:t>
      </w:r>
      <w:r w:rsidRPr="005D3D8E">
        <w:rPr>
          <w:rFonts w:ascii="Palatino Linotype" w:hAnsi="Palatino Linotype"/>
          <w:sz w:val="24"/>
          <w:szCs w:val="24"/>
        </w:rPr>
        <w:tab/>
        <w:t xml:space="preserve">Any form that has not been correctly completed </w:t>
      </w:r>
      <w:r w:rsidRPr="005D3D8E">
        <w:rPr>
          <w:rFonts w:ascii="Palatino Linotype" w:hAnsi="Palatino Linotype"/>
          <w:strike/>
          <w:sz w:val="24"/>
          <w:szCs w:val="24"/>
        </w:rPr>
        <w:t>ballot paper not filled in, signed and returned in accordance</w:t>
      </w:r>
      <w:r w:rsidRPr="005D3D8E">
        <w:rPr>
          <w:rFonts w:ascii="Palatino Linotype" w:hAnsi="Palatino Linotype"/>
          <w:sz w:val="24"/>
          <w:szCs w:val="24"/>
        </w:rPr>
        <w:t xml:space="preserve"> with the requirements of this Schedule and within the time prescribed by the last preceding paragraph shall be void. The Chief Executive shall act as the returning officer, and shall determine all questions regarding the validity of any </w:t>
      </w:r>
      <w:r w:rsidRPr="005D3D8E">
        <w:rPr>
          <w:rFonts w:ascii="Palatino Linotype" w:hAnsi="Palatino Linotype"/>
          <w:sz w:val="24"/>
          <w:szCs w:val="24"/>
          <w:u w:val="single"/>
        </w:rPr>
        <w:t>online</w:t>
      </w:r>
      <w:r w:rsidRPr="005D3D8E">
        <w:rPr>
          <w:rFonts w:ascii="Palatino Linotype" w:hAnsi="Palatino Linotype"/>
          <w:sz w:val="24"/>
          <w:szCs w:val="24"/>
        </w:rPr>
        <w:t xml:space="preserve"> ballot </w:t>
      </w:r>
      <w:r w:rsidRPr="005D3D8E">
        <w:rPr>
          <w:rFonts w:ascii="Palatino Linotype" w:hAnsi="Palatino Linotype"/>
          <w:strike/>
          <w:sz w:val="24"/>
          <w:szCs w:val="24"/>
        </w:rPr>
        <w:t>papers</w:t>
      </w:r>
      <w:r w:rsidRPr="005D3D8E">
        <w:rPr>
          <w:rFonts w:ascii="Palatino Linotype" w:hAnsi="Palatino Linotype"/>
          <w:sz w:val="24"/>
          <w:szCs w:val="24"/>
        </w:rPr>
        <w:t xml:space="preserve"> or of any vote. </w:t>
      </w:r>
    </w:p>
    <w:p w:rsidR="00036FF5" w:rsidRPr="005D3D8E" w:rsidRDefault="00036FF5" w:rsidP="00FB4E8C">
      <w:pPr>
        <w:pStyle w:val="NoSpacing"/>
        <w:ind w:left="720"/>
        <w:jc w:val="both"/>
        <w:rPr>
          <w:rFonts w:ascii="Palatino Linotype" w:hAnsi="Palatino Linotype"/>
          <w:sz w:val="24"/>
          <w:szCs w:val="24"/>
        </w:rPr>
      </w:pPr>
    </w:p>
    <w:p w:rsidR="00036FF5" w:rsidRPr="005D3D8E" w:rsidRDefault="00036FF5" w:rsidP="00FB4E8C">
      <w:pPr>
        <w:pStyle w:val="NoSpacing"/>
        <w:ind w:left="720"/>
        <w:jc w:val="both"/>
        <w:rPr>
          <w:rFonts w:ascii="Palatino Linotype" w:hAnsi="Palatino Linotype"/>
          <w:sz w:val="24"/>
          <w:szCs w:val="24"/>
        </w:rPr>
      </w:pPr>
      <w:r w:rsidRPr="005D3D8E">
        <w:rPr>
          <w:rFonts w:ascii="Palatino Linotype" w:hAnsi="Palatino Linotype"/>
          <w:sz w:val="24"/>
          <w:szCs w:val="24"/>
        </w:rPr>
        <w:t xml:space="preserve">15. No election of any member of the Bar Council shall be invalidated by reason of any defect in </w:t>
      </w:r>
      <w:r w:rsidRPr="005D3D8E">
        <w:rPr>
          <w:rFonts w:ascii="Palatino Linotype" w:hAnsi="Palatino Linotype"/>
          <w:sz w:val="24"/>
          <w:szCs w:val="24"/>
          <w:u w:val="single"/>
        </w:rPr>
        <w:t>the online voting system</w:t>
      </w:r>
      <w:r w:rsidRPr="005D3D8E">
        <w:rPr>
          <w:rFonts w:ascii="Palatino Linotype" w:hAnsi="Palatino Linotype"/>
          <w:sz w:val="24"/>
          <w:szCs w:val="24"/>
        </w:rPr>
        <w:t xml:space="preserve"> </w:t>
      </w:r>
      <w:r w:rsidRPr="005D3D8E">
        <w:rPr>
          <w:rFonts w:ascii="Palatino Linotype" w:hAnsi="Palatino Linotype"/>
          <w:strike/>
          <w:sz w:val="24"/>
          <w:szCs w:val="24"/>
        </w:rPr>
        <w:t>or invalidity of any voting paper used thereat</w:t>
      </w:r>
      <w:r w:rsidRPr="005D3D8E">
        <w:rPr>
          <w:rFonts w:ascii="Palatino Linotype" w:hAnsi="Palatino Linotype"/>
          <w:sz w:val="24"/>
          <w:szCs w:val="24"/>
        </w:rPr>
        <w:t xml:space="preserve"> or by reason of any error however occasioned in the tally of votes cast.</w:t>
      </w:r>
    </w:p>
    <w:p w:rsidR="005B2ACE" w:rsidRDefault="005B2ACE" w:rsidP="00FB4E8C">
      <w:pPr>
        <w:jc w:val="both"/>
        <w:rPr>
          <w:rFonts w:ascii="Palatino Linotype" w:hAnsi="Palatino Linotype" w:cs="Arial"/>
          <w:sz w:val="24"/>
          <w:szCs w:val="24"/>
        </w:rPr>
      </w:pPr>
    </w:p>
    <w:p w:rsidR="00036FF5" w:rsidRPr="00036FF5" w:rsidRDefault="00036FF5" w:rsidP="00FB4E8C">
      <w:pPr>
        <w:jc w:val="both"/>
        <w:rPr>
          <w:rFonts w:ascii="Palatino Linotype" w:hAnsi="Palatino Linotype" w:cs="Arial"/>
          <w:b/>
          <w:sz w:val="24"/>
          <w:szCs w:val="24"/>
          <w:u w:val="single"/>
        </w:rPr>
      </w:pPr>
      <w:r w:rsidRPr="00036FF5">
        <w:rPr>
          <w:rFonts w:ascii="Palatino Linotype" w:hAnsi="Palatino Linotype" w:cs="Arial"/>
          <w:sz w:val="24"/>
          <w:szCs w:val="24"/>
        </w:rPr>
        <w:t xml:space="preserve">The Constitution provides that any barrister holding a valid practising certificate or subscribing voluntarily to the Bar Council (other than retired or overseas subscribers) is at liberty to bring forward any resolution (whilst noting the provisions of paragraph 7 of Part II, Schedule III of the Constitution of the General Council of the Bar) for discussion and decision of the AGM, provided that prior notice of the intention to do so shall have been given in writing to the Chief Executive, and provided that the resolution is seconded by another subscriber. </w:t>
      </w:r>
      <w:r w:rsidRPr="00036FF5">
        <w:rPr>
          <w:rFonts w:ascii="Palatino Linotype" w:hAnsi="Palatino Linotype" w:cs="Arial"/>
          <w:b/>
          <w:sz w:val="24"/>
          <w:szCs w:val="24"/>
        </w:rPr>
        <w:t xml:space="preserve">Resolutions should be forwarded to Malcolm Cree at the Bar Council by 16.00 on Friday </w:t>
      </w:r>
      <w:r w:rsidR="005B2ACE">
        <w:rPr>
          <w:rFonts w:ascii="Palatino Linotype" w:hAnsi="Palatino Linotype" w:cs="Arial"/>
          <w:b/>
          <w:sz w:val="24"/>
          <w:szCs w:val="24"/>
        </w:rPr>
        <w:t>16</w:t>
      </w:r>
      <w:r w:rsidRPr="00036FF5">
        <w:rPr>
          <w:rFonts w:ascii="Palatino Linotype" w:hAnsi="Palatino Linotype" w:cs="Arial"/>
          <w:b/>
          <w:sz w:val="24"/>
          <w:szCs w:val="24"/>
        </w:rPr>
        <w:t xml:space="preserve"> August 201</w:t>
      </w:r>
      <w:r w:rsidR="005B2ACE">
        <w:rPr>
          <w:rFonts w:ascii="Palatino Linotype" w:hAnsi="Palatino Linotype" w:cs="Arial"/>
          <w:b/>
          <w:sz w:val="24"/>
          <w:szCs w:val="24"/>
        </w:rPr>
        <w:t>9</w:t>
      </w:r>
      <w:r w:rsidRPr="00036FF5">
        <w:rPr>
          <w:rFonts w:ascii="Palatino Linotype" w:hAnsi="Palatino Linotype" w:cs="Arial"/>
          <w:b/>
          <w:sz w:val="24"/>
          <w:szCs w:val="24"/>
        </w:rPr>
        <w:t>.</w:t>
      </w:r>
    </w:p>
    <w:p w:rsidR="00036FF5" w:rsidRPr="00036FF5" w:rsidRDefault="00036FF5" w:rsidP="00FB4E8C">
      <w:pPr>
        <w:jc w:val="both"/>
        <w:rPr>
          <w:rFonts w:ascii="Palatino Linotype" w:hAnsi="Palatino Linotype" w:cs="Arial"/>
          <w:b/>
          <w:sz w:val="24"/>
          <w:szCs w:val="24"/>
        </w:rPr>
      </w:pPr>
    </w:p>
    <w:p w:rsidR="00036FF5" w:rsidRPr="00036FF5" w:rsidRDefault="00036FF5" w:rsidP="00FB4E8C">
      <w:pPr>
        <w:jc w:val="both"/>
        <w:rPr>
          <w:rFonts w:ascii="Palatino Linotype" w:hAnsi="Palatino Linotype" w:cs="Arial"/>
          <w:sz w:val="24"/>
          <w:szCs w:val="24"/>
        </w:rPr>
      </w:pPr>
    </w:p>
    <w:p w:rsidR="00036FF5" w:rsidRPr="00036FF5" w:rsidRDefault="00036FF5" w:rsidP="00FB4E8C">
      <w:pPr>
        <w:pStyle w:val="Heading4"/>
        <w:jc w:val="both"/>
        <w:rPr>
          <w:rFonts w:ascii="Palatino Linotype" w:hAnsi="Palatino Linotype"/>
          <w:sz w:val="24"/>
          <w:szCs w:val="24"/>
        </w:rPr>
      </w:pPr>
      <w:r w:rsidRPr="00036FF5">
        <w:rPr>
          <w:rFonts w:ascii="Palatino Linotype" w:hAnsi="Palatino Linotype"/>
          <w:sz w:val="24"/>
          <w:szCs w:val="24"/>
        </w:rPr>
        <w:t>Directive Resolutions</w:t>
      </w:r>
      <w:r w:rsidRPr="00036FF5">
        <w:rPr>
          <w:rStyle w:val="FootnoteReference"/>
          <w:rFonts w:ascii="Palatino Linotype" w:hAnsi="Palatino Linotype"/>
          <w:sz w:val="24"/>
          <w:szCs w:val="24"/>
        </w:rPr>
        <w:footnoteReference w:id="1"/>
      </w:r>
    </w:p>
    <w:p w:rsidR="00036FF5" w:rsidRPr="00036FF5" w:rsidRDefault="00036FF5" w:rsidP="00FB4E8C">
      <w:pPr>
        <w:jc w:val="both"/>
        <w:rPr>
          <w:rFonts w:ascii="Palatino Linotype" w:hAnsi="Palatino Linotype" w:cs="Arial"/>
          <w:sz w:val="24"/>
          <w:szCs w:val="24"/>
        </w:rPr>
      </w:pPr>
    </w:p>
    <w:p w:rsidR="00036FF5" w:rsidRPr="00036FF5" w:rsidRDefault="00036FF5" w:rsidP="00FB4E8C">
      <w:pPr>
        <w:pStyle w:val="BodyText"/>
        <w:tabs>
          <w:tab w:val="left" w:pos="720"/>
        </w:tabs>
        <w:ind w:left="426" w:hanging="426"/>
        <w:rPr>
          <w:rFonts w:ascii="Palatino Linotype" w:hAnsi="Palatino Linotype"/>
          <w:sz w:val="24"/>
          <w:szCs w:val="24"/>
        </w:rPr>
      </w:pPr>
      <w:r w:rsidRPr="00036FF5">
        <w:rPr>
          <w:rFonts w:ascii="Palatino Linotype" w:hAnsi="Palatino Linotype"/>
          <w:sz w:val="24"/>
          <w:szCs w:val="24"/>
        </w:rPr>
        <w:t>“1.</w:t>
      </w:r>
      <w:r w:rsidRPr="00036FF5">
        <w:rPr>
          <w:rFonts w:ascii="Palatino Linotype" w:hAnsi="Palatino Linotype"/>
          <w:sz w:val="24"/>
          <w:szCs w:val="24"/>
        </w:rPr>
        <w:tab/>
        <w:t>A Directive Resolution is any resolution of an Annual or Extraordinary General Meeting which satisfies the following conditions:</w:t>
      </w:r>
    </w:p>
    <w:p w:rsidR="00036FF5" w:rsidRPr="00036FF5" w:rsidRDefault="00036FF5" w:rsidP="00FB4E8C">
      <w:pPr>
        <w:jc w:val="both"/>
        <w:rPr>
          <w:rFonts w:ascii="Palatino Linotype" w:hAnsi="Palatino Linotype" w:cs="Arial"/>
          <w:sz w:val="24"/>
          <w:szCs w:val="24"/>
        </w:rPr>
      </w:pPr>
    </w:p>
    <w:p w:rsidR="00036FF5" w:rsidRPr="00036FF5" w:rsidRDefault="00036FF5" w:rsidP="00FB4E8C">
      <w:pPr>
        <w:pStyle w:val="BodyTextIndent3"/>
        <w:rPr>
          <w:rFonts w:ascii="Palatino Linotype" w:hAnsi="Palatino Linotype"/>
          <w:sz w:val="24"/>
          <w:szCs w:val="24"/>
        </w:rPr>
      </w:pPr>
      <w:r w:rsidRPr="00036FF5">
        <w:rPr>
          <w:rFonts w:ascii="Palatino Linotype" w:hAnsi="Palatino Linotype"/>
          <w:sz w:val="24"/>
          <w:szCs w:val="24"/>
        </w:rPr>
        <w:t>(a)</w:t>
      </w:r>
      <w:r w:rsidRPr="00036FF5">
        <w:rPr>
          <w:rFonts w:ascii="Palatino Linotype" w:hAnsi="Palatino Linotype"/>
          <w:sz w:val="24"/>
          <w:szCs w:val="24"/>
        </w:rPr>
        <w:tab/>
        <w:t>when proposed and seconded notice is given to the Chief Executive that it is intended to be a Directive Resolution and a written explanation is lodged of its financial implications (if any).</w:t>
      </w:r>
    </w:p>
    <w:p w:rsidR="00036FF5" w:rsidRPr="00036FF5" w:rsidRDefault="00036FF5" w:rsidP="00FB4E8C">
      <w:pPr>
        <w:ind w:left="567" w:hanging="567"/>
        <w:jc w:val="both"/>
        <w:rPr>
          <w:rFonts w:ascii="Palatino Linotype" w:hAnsi="Palatino Linotype" w:cs="Arial"/>
          <w:sz w:val="24"/>
          <w:szCs w:val="24"/>
        </w:rPr>
      </w:pPr>
    </w:p>
    <w:p w:rsidR="00036FF5" w:rsidRPr="00036FF5" w:rsidRDefault="00036FF5" w:rsidP="00FB4E8C">
      <w:pPr>
        <w:pStyle w:val="BodyTextIndent"/>
        <w:ind w:left="927"/>
        <w:rPr>
          <w:rFonts w:ascii="Palatino Linotype" w:hAnsi="Palatino Linotype"/>
          <w:sz w:val="24"/>
          <w:szCs w:val="24"/>
        </w:rPr>
      </w:pPr>
      <w:r w:rsidRPr="00036FF5">
        <w:rPr>
          <w:rFonts w:ascii="Palatino Linotype" w:hAnsi="Palatino Linotype"/>
          <w:sz w:val="24"/>
          <w:szCs w:val="24"/>
        </w:rPr>
        <w:t>(b)</w:t>
      </w:r>
      <w:r w:rsidRPr="00036FF5">
        <w:rPr>
          <w:rFonts w:ascii="Palatino Linotype" w:hAnsi="Palatino Linotype"/>
          <w:sz w:val="24"/>
          <w:szCs w:val="24"/>
        </w:rPr>
        <w:tab/>
        <w:t xml:space="preserve">the Chair of the Bar has certified that he is satisfied that it would not, if passed, commit the Bar Council or the Bar to a policy or course of action, which is not permitted or is beyond its powers, or is contrary to or inconsistent with the obligations of the Bar Council under any provision of or made under the Legal Services Act 2007 (including its obligations in </w:t>
      </w:r>
      <w:r w:rsidRPr="00036FF5">
        <w:rPr>
          <w:rFonts w:ascii="Palatino Linotype" w:hAnsi="Palatino Linotype"/>
          <w:sz w:val="24"/>
          <w:szCs w:val="24"/>
        </w:rPr>
        <w:lastRenderedPageBreak/>
        <w:t>relation to the principle of regulatory independence as defined in rule 1 of the Internal Governance Rules 2009).</w:t>
      </w:r>
    </w:p>
    <w:p w:rsidR="00036FF5" w:rsidRPr="00036FF5" w:rsidRDefault="00036FF5" w:rsidP="00FB4E8C">
      <w:pPr>
        <w:pStyle w:val="BodyTextIndent"/>
        <w:ind w:left="927"/>
        <w:rPr>
          <w:rFonts w:ascii="Palatino Linotype" w:hAnsi="Palatino Linotype"/>
          <w:sz w:val="24"/>
          <w:szCs w:val="24"/>
        </w:rPr>
      </w:pPr>
    </w:p>
    <w:p w:rsidR="00036FF5" w:rsidRPr="00036FF5" w:rsidRDefault="00036FF5" w:rsidP="00FB4E8C">
      <w:pPr>
        <w:ind w:left="927" w:hanging="567"/>
        <w:jc w:val="both"/>
        <w:rPr>
          <w:rFonts w:ascii="Palatino Linotype" w:hAnsi="Palatino Linotype" w:cs="Arial"/>
          <w:sz w:val="24"/>
          <w:szCs w:val="24"/>
        </w:rPr>
      </w:pPr>
      <w:r w:rsidRPr="00036FF5">
        <w:rPr>
          <w:rFonts w:ascii="Palatino Linotype" w:hAnsi="Palatino Linotype" w:cs="Arial"/>
          <w:sz w:val="24"/>
          <w:szCs w:val="24"/>
        </w:rPr>
        <w:t>(c)</w:t>
      </w:r>
      <w:r w:rsidRPr="00036FF5">
        <w:rPr>
          <w:rFonts w:ascii="Palatino Linotype" w:hAnsi="Palatino Linotype" w:cs="Arial"/>
          <w:sz w:val="24"/>
          <w:szCs w:val="24"/>
        </w:rPr>
        <w:tab/>
        <w:t>the resolution is passed by a majority of two thirds of those present and voting at the meeting (persons abstaining being disregarded).</w:t>
      </w:r>
    </w:p>
    <w:p w:rsidR="00036FF5" w:rsidRPr="00036FF5" w:rsidRDefault="00036FF5" w:rsidP="00FB4E8C">
      <w:pPr>
        <w:ind w:left="927" w:hanging="567"/>
        <w:jc w:val="both"/>
        <w:rPr>
          <w:rFonts w:ascii="Palatino Linotype" w:hAnsi="Palatino Linotype" w:cs="Arial"/>
          <w:sz w:val="24"/>
          <w:szCs w:val="24"/>
        </w:rPr>
      </w:pPr>
    </w:p>
    <w:p w:rsidR="00036FF5" w:rsidRPr="00036FF5" w:rsidRDefault="00036FF5" w:rsidP="00FB4E8C">
      <w:pPr>
        <w:pStyle w:val="BodyTextIndent3"/>
        <w:rPr>
          <w:rFonts w:ascii="Palatino Linotype" w:hAnsi="Palatino Linotype"/>
          <w:sz w:val="24"/>
          <w:szCs w:val="24"/>
        </w:rPr>
      </w:pPr>
      <w:r w:rsidRPr="00036FF5">
        <w:rPr>
          <w:rFonts w:ascii="Palatino Linotype" w:hAnsi="Palatino Linotype"/>
          <w:sz w:val="24"/>
          <w:szCs w:val="24"/>
        </w:rPr>
        <w:t>(d)</w:t>
      </w:r>
      <w:r w:rsidRPr="00036FF5">
        <w:rPr>
          <w:rFonts w:ascii="Palatino Linotype" w:hAnsi="Palatino Linotype"/>
          <w:sz w:val="24"/>
          <w:szCs w:val="24"/>
        </w:rPr>
        <w:tab/>
        <w:t>If so required by the Chair of the Bar or by 80 subscribers at or within fourteen days after such meeting the resolution has furthermore been passed on a ballot by two thirds of those voting.</w:t>
      </w:r>
    </w:p>
    <w:p w:rsidR="00036FF5" w:rsidRPr="00036FF5" w:rsidRDefault="00036FF5" w:rsidP="00FB4E8C">
      <w:pPr>
        <w:jc w:val="both"/>
        <w:rPr>
          <w:rFonts w:ascii="Palatino Linotype" w:hAnsi="Palatino Linotype" w:cs="Arial"/>
          <w:sz w:val="24"/>
          <w:szCs w:val="24"/>
        </w:rPr>
      </w:pPr>
    </w:p>
    <w:p w:rsidR="00036FF5" w:rsidRPr="00036FF5" w:rsidRDefault="00036FF5" w:rsidP="00FB4E8C">
      <w:pPr>
        <w:tabs>
          <w:tab w:val="left" w:pos="720"/>
        </w:tabs>
        <w:ind w:left="426" w:hanging="426"/>
        <w:jc w:val="both"/>
        <w:rPr>
          <w:rFonts w:ascii="Palatino Linotype" w:hAnsi="Palatino Linotype" w:cs="Arial"/>
          <w:sz w:val="24"/>
          <w:szCs w:val="24"/>
        </w:rPr>
      </w:pPr>
      <w:r w:rsidRPr="00036FF5">
        <w:rPr>
          <w:rFonts w:ascii="Palatino Linotype" w:hAnsi="Palatino Linotype" w:cs="Arial"/>
          <w:sz w:val="24"/>
          <w:szCs w:val="24"/>
        </w:rPr>
        <w:t>2.</w:t>
      </w:r>
      <w:r w:rsidRPr="00036FF5">
        <w:rPr>
          <w:rFonts w:ascii="Palatino Linotype" w:hAnsi="Palatino Linotype" w:cs="Arial"/>
          <w:sz w:val="24"/>
          <w:szCs w:val="24"/>
        </w:rPr>
        <w:tab/>
        <w:t>On any ballot under sub-paragraph (d) above there shall be circulated the material lodged on the giving of notice of the intention to propose the resolution as a Directive Resolution plus three memoranda of not more than five pages each as follows, namely:</w:t>
      </w:r>
    </w:p>
    <w:p w:rsidR="00036FF5" w:rsidRPr="00036FF5" w:rsidRDefault="00036FF5" w:rsidP="00FB4E8C">
      <w:pPr>
        <w:jc w:val="both"/>
        <w:rPr>
          <w:rFonts w:ascii="Palatino Linotype" w:hAnsi="Palatino Linotype" w:cs="Arial"/>
          <w:sz w:val="24"/>
          <w:szCs w:val="24"/>
        </w:rPr>
      </w:pPr>
    </w:p>
    <w:p w:rsidR="00036FF5" w:rsidRPr="00036FF5" w:rsidRDefault="00036FF5" w:rsidP="00FB4E8C">
      <w:pPr>
        <w:ind w:left="927" w:hanging="567"/>
        <w:jc w:val="both"/>
        <w:rPr>
          <w:rFonts w:ascii="Palatino Linotype" w:hAnsi="Palatino Linotype" w:cs="Arial"/>
          <w:sz w:val="24"/>
          <w:szCs w:val="24"/>
        </w:rPr>
      </w:pPr>
      <w:r w:rsidRPr="00036FF5">
        <w:rPr>
          <w:rFonts w:ascii="Palatino Linotype" w:hAnsi="Palatino Linotype" w:cs="Arial"/>
          <w:sz w:val="24"/>
          <w:szCs w:val="24"/>
        </w:rPr>
        <w:t>-</w:t>
      </w:r>
      <w:r w:rsidRPr="00036FF5">
        <w:rPr>
          <w:rFonts w:ascii="Palatino Linotype" w:hAnsi="Palatino Linotype" w:cs="Arial"/>
          <w:sz w:val="24"/>
          <w:szCs w:val="24"/>
        </w:rPr>
        <w:tab/>
        <w:t>one from the proposer and seconder summarising the reasons for passing the resolution as a Directive Resolution</w:t>
      </w:r>
    </w:p>
    <w:p w:rsidR="00036FF5" w:rsidRPr="00036FF5" w:rsidRDefault="00036FF5" w:rsidP="00FB4E8C">
      <w:pPr>
        <w:ind w:left="927" w:hanging="567"/>
        <w:jc w:val="both"/>
        <w:rPr>
          <w:rFonts w:ascii="Palatino Linotype" w:hAnsi="Palatino Linotype" w:cs="Arial"/>
          <w:sz w:val="24"/>
          <w:szCs w:val="24"/>
        </w:rPr>
      </w:pPr>
      <w:r w:rsidRPr="00036FF5">
        <w:rPr>
          <w:rFonts w:ascii="Palatino Linotype" w:hAnsi="Palatino Linotype" w:cs="Arial"/>
          <w:sz w:val="24"/>
          <w:szCs w:val="24"/>
        </w:rPr>
        <w:t>-</w:t>
      </w:r>
      <w:r w:rsidRPr="00036FF5">
        <w:rPr>
          <w:rFonts w:ascii="Palatino Linotype" w:hAnsi="Palatino Linotype" w:cs="Arial"/>
          <w:sz w:val="24"/>
          <w:szCs w:val="24"/>
        </w:rPr>
        <w:tab/>
        <w:t xml:space="preserve">one from such person or persons as shall be nominated for this purpose by the Chair of the Bar summarising the reasons for not passing the resolution or not passing it as a Directive Resolution </w:t>
      </w:r>
    </w:p>
    <w:p w:rsidR="00036FF5" w:rsidRPr="00036FF5" w:rsidRDefault="00036FF5" w:rsidP="00FB4E8C">
      <w:pPr>
        <w:ind w:left="927" w:hanging="567"/>
        <w:jc w:val="both"/>
        <w:rPr>
          <w:rFonts w:ascii="Palatino Linotype" w:hAnsi="Palatino Linotype" w:cs="Arial"/>
          <w:sz w:val="24"/>
          <w:szCs w:val="24"/>
        </w:rPr>
      </w:pPr>
      <w:r w:rsidRPr="00036FF5">
        <w:rPr>
          <w:rFonts w:ascii="Palatino Linotype" w:hAnsi="Palatino Linotype" w:cs="Arial"/>
          <w:sz w:val="24"/>
          <w:szCs w:val="24"/>
        </w:rPr>
        <w:t>-</w:t>
      </w:r>
      <w:r w:rsidRPr="00036FF5">
        <w:rPr>
          <w:rFonts w:ascii="Palatino Linotype" w:hAnsi="Palatino Linotype" w:cs="Arial"/>
          <w:sz w:val="24"/>
          <w:szCs w:val="24"/>
        </w:rPr>
        <w:tab/>
        <w:t>one from the Chair of the Bar indicating his views (if any) whether or not the resolution should be so passed</w:t>
      </w:r>
    </w:p>
    <w:p w:rsidR="00036FF5" w:rsidRPr="00036FF5" w:rsidRDefault="00036FF5" w:rsidP="00FB4E8C">
      <w:pPr>
        <w:ind w:left="567" w:hanging="567"/>
        <w:jc w:val="both"/>
        <w:rPr>
          <w:rFonts w:ascii="Palatino Linotype" w:hAnsi="Palatino Linotype" w:cs="Arial"/>
          <w:sz w:val="24"/>
          <w:szCs w:val="24"/>
        </w:rPr>
      </w:pPr>
    </w:p>
    <w:p w:rsidR="00036FF5" w:rsidRPr="00036FF5" w:rsidRDefault="00036FF5" w:rsidP="00FB4E8C">
      <w:pPr>
        <w:ind w:left="426" w:hanging="426"/>
        <w:jc w:val="both"/>
        <w:rPr>
          <w:rFonts w:ascii="Palatino Linotype" w:hAnsi="Palatino Linotype" w:cs="Arial"/>
          <w:sz w:val="24"/>
          <w:szCs w:val="24"/>
        </w:rPr>
      </w:pPr>
      <w:r w:rsidRPr="00036FF5">
        <w:rPr>
          <w:rFonts w:ascii="Palatino Linotype" w:hAnsi="Palatino Linotype" w:cs="Arial"/>
          <w:sz w:val="24"/>
          <w:szCs w:val="24"/>
        </w:rPr>
        <w:t>3.</w:t>
      </w:r>
      <w:r w:rsidRPr="00036FF5">
        <w:rPr>
          <w:rFonts w:ascii="Palatino Linotype" w:hAnsi="Palatino Linotype" w:cs="Arial"/>
          <w:sz w:val="24"/>
          <w:szCs w:val="24"/>
        </w:rPr>
        <w:tab/>
        <w:t>No resolution intended to be put forward as a Directive Resolution shall be capable of amendment in any way unless the Chair of the Bar or of the meeting as the case may be certifies that the amendment in question does not alter the substance of the resolution.</w:t>
      </w:r>
    </w:p>
    <w:p w:rsidR="00036FF5" w:rsidRPr="00036FF5" w:rsidRDefault="00036FF5" w:rsidP="00FB4E8C">
      <w:pPr>
        <w:pStyle w:val="Footer"/>
        <w:tabs>
          <w:tab w:val="clear" w:pos="4153"/>
          <w:tab w:val="clear" w:pos="8306"/>
          <w:tab w:val="right" w:pos="9356"/>
        </w:tabs>
        <w:rPr>
          <w:rFonts w:ascii="Palatino Linotype" w:hAnsi="Palatino Linotype" w:cs="Arial"/>
          <w:szCs w:val="24"/>
        </w:rPr>
      </w:pPr>
    </w:p>
    <w:p w:rsidR="00036FF5" w:rsidRPr="00036FF5" w:rsidRDefault="00036FF5" w:rsidP="00FB4E8C">
      <w:pPr>
        <w:jc w:val="both"/>
        <w:rPr>
          <w:rFonts w:ascii="Palatino Linotype" w:hAnsi="Palatino Linotype" w:cs="Arial"/>
          <w:sz w:val="24"/>
          <w:szCs w:val="24"/>
        </w:rPr>
      </w:pPr>
    </w:p>
    <w:p w:rsidR="00036FF5" w:rsidRPr="00036FF5" w:rsidRDefault="00036FF5" w:rsidP="00FB4E8C">
      <w:pPr>
        <w:pStyle w:val="Heading4"/>
        <w:jc w:val="both"/>
        <w:rPr>
          <w:rFonts w:ascii="Palatino Linotype" w:hAnsi="Palatino Linotype"/>
          <w:sz w:val="24"/>
          <w:szCs w:val="24"/>
        </w:rPr>
      </w:pPr>
      <w:r w:rsidRPr="00036FF5">
        <w:rPr>
          <w:rFonts w:ascii="Palatino Linotype" w:hAnsi="Palatino Linotype"/>
          <w:sz w:val="24"/>
          <w:szCs w:val="24"/>
        </w:rPr>
        <w:t>Proxy Voting</w:t>
      </w:r>
      <w:r w:rsidRPr="00036FF5">
        <w:rPr>
          <w:rStyle w:val="FootnoteReference"/>
          <w:rFonts w:ascii="Palatino Linotype" w:hAnsi="Palatino Linotype"/>
          <w:sz w:val="24"/>
          <w:szCs w:val="24"/>
        </w:rPr>
        <w:footnoteReference w:id="2"/>
      </w:r>
    </w:p>
    <w:p w:rsidR="00036FF5" w:rsidRPr="00036FF5" w:rsidRDefault="00036FF5" w:rsidP="00FB4E8C">
      <w:pPr>
        <w:jc w:val="both"/>
        <w:rPr>
          <w:rFonts w:ascii="Palatino Linotype" w:hAnsi="Palatino Linotype" w:cs="Arial"/>
          <w:sz w:val="24"/>
          <w:szCs w:val="24"/>
        </w:rPr>
      </w:pPr>
    </w:p>
    <w:p w:rsidR="00036FF5" w:rsidRPr="00036FF5" w:rsidRDefault="00036FF5" w:rsidP="00FB4E8C">
      <w:pPr>
        <w:jc w:val="both"/>
        <w:rPr>
          <w:rFonts w:ascii="Palatino Linotype" w:hAnsi="Palatino Linotype" w:cs="Arial"/>
          <w:sz w:val="24"/>
          <w:szCs w:val="24"/>
        </w:rPr>
      </w:pPr>
      <w:r w:rsidRPr="00036FF5">
        <w:rPr>
          <w:rFonts w:ascii="Palatino Linotype" w:hAnsi="Palatino Linotype" w:cs="Arial"/>
          <w:sz w:val="24"/>
          <w:szCs w:val="24"/>
        </w:rPr>
        <w:t>“A Subscriber shall be entitled to vote by proxy at an Annual General Meeting if he or she shall at least 24 hours in advance of the meeting have delivered or caused to be delivered to the Chief Executive a certificate that he or she is prevented from attending the meeting for due medical or religious cause and shall have nominated either some specified Subscriber present in person at the meeting or the Chair of the meeting ex officio to vote on his or her behalf (in which case any show of hands shall be so conducted as to ensure that the proxy has a further vote on behalf of the Subscriber in question in addition to his or her own vote).”</w:t>
      </w:r>
    </w:p>
    <w:p w:rsidR="00036FF5" w:rsidRPr="00036FF5" w:rsidRDefault="00036FF5" w:rsidP="00FB4E8C">
      <w:pPr>
        <w:jc w:val="both"/>
        <w:rPr>
          <w:rFonts w:ascii="Palatino Linotype" w:hAnsi="Palatino Linotype" w:cs="Arial"/>
          <w:sz w:val="24"/>
          <w:szCs w:val="24"/>
        </w:rPr>
      </w:pPr>
    </w:p>
    <w:p w:rsidR="00036FF5" w:rsidRPr="00036FF5" w:rsidRDefault="00036FF5" w:rsidP="00FB4E8C">
      <w:pPr>
        <w:jc w:val="both"/>
        <w:rPr>
          <w:rFonts w:ascii="Palatino Linotype" w:hAnsi="Palatino Linotype" w:cs="Arial"/>
          <w:sz w:val="24"/>
          <w:szCs w:val="24"/>
        </w:rPr>
      </w:pPr>
      <w:r w:rsidRPr="00036FF5">
        <w:rPr>
          <w:rFonts w:ascii="Palatino Linotype" w:hAnsi="Palatino Linotype" w:cs="Arial"/>
          <w:sz w:val="24"/>
          <w:szCs w:val="24"/>
        </w:rPr>
        <w:lastRenderedPageBreak/>
        <w:t xml:space="preserve">Forms for the certification and lodging of proxy votes can be obtained from the Executive Office. </w:t>
      </w:r>
    </w:p>
    <w:p w:rsidR="00036FF5" w:rsidRPr="00036FF5" w:rsidRDefault="00036FF5" w:rsidP="00FB4E8C">
      <w:pPr>
        <w:jc w:val="both"/>
        <w:rPr>
          <w:rFonts w:ascii="Palatino Linotype" w:hAnsi="Palatino Linotype" w:cs="Arial"/>
          <w:sz w:val="24"/>
          <w:szCs w:val="24"/>
        </w:rPr>
      </w:pPr>
    </w:p>
    <w:p w:rsidR="00036FF5" w:rsidRPr="00036FF5" w:rsidRDefault="00036FF5" w:rsidP="00FB4E8C">
      <w:pPr>
        <w:jc w:val="both"/>
        <w:rPr>
          <w:rFonts w:ascii="Palatino Linotype" w:hAnsi="Palatino Linotype" w:cs="Arial"/>
          <w:b/>
          <w:sz w:val="24"/>
          <w:szCs w:val="24"/>
        </w:rPr>
      </w:pPr>
      <w:r w:rsidRPr="00036FF5">
        <w:rPr>
          <w:rFonts w:ascii="Palatino Linotype" w:hAnsi="Palatino Linotype" w:cs="Arial"/>
          <w:b/>
          <w:sz w:val="24"/>
          <w:szCs w:val="24"/>
        </w:rPr>
        <w:t xml:space="preserve">Completed forms should be delivered to Malcolm Cree at the Bar Council by 11.00 on Friday </w:t>
      </w:r>
      <w:r w:rsidR="00B059D6">
        <w:rPr>
          <w:rFonts w:ascii="Palatino Linotype" w:hAnsi="Palatino Linotype" w:cs="Arial"/>
          <w:b/>
          <w:sz w:val="24"/>
          <w:szCs w:val="24"/>
        </w:rPr>
        <w:t>6</w:t>
      </w:r>
      <w:r w:rsidRPr="00036FF5">
        <w:rPr>
          <w:rFonts w:ascii="Palatino Linotype" w:hAnsi="Palatino Linotype" w:cs="Arial"/>
          <w:b/>
          <w:sz w:val="24"/>
          <w:szCs w:val="24"/>
        </w:rPr>
        <w:t xml:space="preserve"> September 201</w:t>
      </w:r>
      <w:r w:rsidR="00B059D6">
        <w:rPr>
          <w:rFonts w:ascii="Palatino Linotype" w:hAnsi="Palatino Linotype" w:cs="Arial"/>
          <w:b/>
          <w:sz w:val="24"/>
          <w:szCs w:val="24"/>
        </w:rPr>
        <w:t>9</w:t>
      </w:r>
      <w:r w:rsidRPr="00036FF5">
        <w:rPr>
          <w:rFonts w:ascii="Palatino Linotype" w:hAnsi="Palatino Linotype" w:cs="Arial"/>
          <w:b/>
          <w:sz w:val="24"/>
          <w:szCs w:val="24"/>
        </w:rPr>
        <w:t>.</w:t>
      </w:r>
    </w:p>
    <w:p w:rsidR="00036FF5" w:rsidRPr="00036FF5" w:rsidRDefault="00036FF5" w:rsidP="00FB4E8C">
      <w:pPr>
        <w:jc w:val="both"/>
        <w:rPr>
          <w:rFonts w:ascii="Palatino Linotype" w:hAnsi="Palatino Linotype" w:cs="Arial"/>
          <w:sz w:val="24"/>
          <w:szCs w:val="24"/>
        </w:rPr>
      </w:pPr>
    </w:p>
    <w:p w:rsidR="00036FF5" w:rsidRPr="00036FF5" w:rsidRDefault="00036FF5" w:rsidP="00FB4E8C">
      <w:pPr>
        <w:jc w:val="both"/>
        <w:rPr>
          <w:rFonts w:ascii="Palatino Linotype" w:hAnsi="Palatino Linotype" w:cs="Arial"/>
          <w:sz w:val="24"/>
          <w:szCs w:val="24"/>
        </w:rPr>
      </w:pPr>
    </w:p>
    <w:p w:rsidR="00036FF5" w:rsidRPr="00036FF5" w:rsidRDefault="00036FF5" w:rsidP="00FB4E8C">
      <w:pPr>
        <w:pStyle w:val="Heading4"/>
        <w:jc w:val="both"/>
        <w:rPr>
          <w:rFonts w:ascii="Palatino Linotype" w:hAnsi="Palatino Linotype"/>
          <w:sz w:val="24"/>
          <w:szCs w:val="24"/>
        </w:rPr>
      </w:pPr>
      <w:r w:rsidRPr="00036FF5">
        <w:rPr>
          <w:rFonts w:ascii="Palatino Linotype" w:hAnsi="Palatino Linotype"/>
          <w:sz w:val="24"/>
          <w:szCs w:val="24"/>
        </w:rPr>
        <w:t>AGM speaking limits</w:t>
      </w:r>
      <w:r w:rsidRPr="00036FF5">
        <w:rPr>
          <w:rStyle w:val="FootnoteReference"/>
          <w:rFonts w:ascii="Palatino Linotype" w:hAnsi="Palatino Linotype"/>
          <w:sz w:val="24"/>
          <w:szCs w:val="24"/>
        </w:rPr>
        <w:footnoteReference w:id="3"/>
      </w:r>
    </w:p>
    <w:p w:rsidR="00036FF5" w:rsidRPr="00036FF5" w:rsidRDefault="00036FF5" w:rsidP="00FB4E8C">
      <w:pPr>
        <w:jc w:val="both"/>
        <w:rPr>
          <w:rFonts w:ascii="Palatino Linotype" w:hAnsi="Palatino Linotype" w:cs="Arial"/>
          <w:sz w:val="24"/>
          <w:szCs w:val="24"/>
        </w:rPr>
      </w:pPr>
    </w:p>
    <w:p w:rsidR="00036FF5" w:rsidRPr="00036FF5" w:rsidRDefault="00036FF5" w:rsidP="00FB4E8C">
      <w:pPr>
        <w:jc w:val="both"/>
        <w:rPr>
          <w:rFonts w:ascii="Palatino Linotype" w:hAnsi="Palatino Linotype" w:cs="Arial"/>
          <w:sz w:val="24"/>
          <w:szCs w:val="24"/>
        </w:rPr>
      </w:pPr>
      <w:r w:rsidRPr="00036FF5">
        <w:rPr>
          <w:rFonts w:ascii="Palatino Linotype" w:hAnsi="Palatino Linotype" w:cs="Arial"/>
          <w:sz w:val="24"/>
          <w:szCs w:val="24"/>
        </w:rPr>
        <w:t>“No Subscriber shall be permitted, without the consent of the Chair of the meeting, to speak more than once or for more than five minutes on the same matter, save in the case of the proposer of the resolution under debate, who shall be entitled to speak for not more than seven minutes.”</w:t>
      </w:r>
    </w:p>
    <w:p w:rsidR="00036FF5" w:rsidRPr="00036FF5" w:rsidRDefault="00036FF5" w:rsidP="00FB4E8C">
      <w:pPr>
        <w:jc w:val="both"/>
        <w:rPr>
          <w:rFonts w:ascii="Palatino Linotype" w:hAnsi="Palatino Linotype" w:cs="Times New Roman"/>
          <w:b/>
          <w:sz w:val="24"/>
          <w:szCs w:val="24"/>
        </w:rPr>
      </w:pPr>
    </w:p>
    <w:p w:rsidR="00036FF5" w:rsidRPr="00036FF5" w:rsidRDefault="00036FF5" w:rsidP="00FB4E8C">
      <w:pPr>
        <w:jc w:val="both"/>
        <w:rPr>
          <w:rFonts w:ascii="Palatino Linotype" w:hAnsi="Palatino Linotype"/>
          <w:sz w:val="24"/>
          <w:szCs w:val="24"/>
        </w:rPr>
      </w:pPr>
    </w:p>
    <w:p w:rsidR="00734545" w:rsidRPr="00036FF5" w:rsidRDefault="00F56A52" w:rsidP="00FB4E8C">
      <w:pPr>
        <w:jc w:val="both"/>
        <w:rPr>
          <w:sz w:val="24"/>
          <w:szCs w:val="24"/>
        </w:rPr>
      </w:pPr>
    </w:p>
    <w:sectPr w:rsidR="00734545" w:rsidRPr="00036F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E6B" w:rsidRDefault="00876E6B" w:rsidP="00036FF5">
      <w:r>
        <w:separator/>
      </w:r>
    </w:p>
  </w:endnote>
  <w:endnote w:type="continuationSeparator" w:id="0">
    <w:p w:rsidR="00876E6B" w:rsidRDefault="00876E6B" w:rsidP="0003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E6B" w:rsidRDefault="00876E6B" w:rsidP="00036FF5">
      <w:r>
        <w:separator/>
      </w:r>
    </w:p>
  </w:footnote>
  <w:footnote w:type="continuationSeparator" w:id="0">
    <w:p w:rsidR="00876E6B" w:rsidRDefault="00876E6B" w:rsidP="00036FF5">
      <w:r>
        <w:continuationSeparator/>
      </w:r>
    </w:p>
  </w:footnote>
  <w:footnote w:id="1">
    <w:p w:rsidR="00036FF5" w:rsidRDefault="00036FF5" w:rsidP="00036FF5">
      <w:pPr>
        <w:pStyle w:val="FootnoteText"/>
        <w:rPr>
          <w:rFonts w:ascii="Palatino Linotype" w:hAnsi="Palatino Linotype" w:cs="Arial"/>
        </w:rPr>
      </w:pPr>
      <w:r>
        <w:rPr>
          <w:rStyle w:val="FootnoteReference"/>
          <w:rFonts w:ascii="Arial" w:hAnsi="Arial" w:cs="Arial"/>
          <w:sz w:val="16"/>
        </w:rPr>
        <w:footnoteRef/>
      </w:r>
      <w:r>
        <w:rPr>
          <w:rFonts w:ascii="Arial" w:hAnsi="Arial" w:cs="Arial"/>
          <w:sz w:val="16"/>
        </w:rPr>
        <w:t xml:space="preserve"> </w:t>
      </w:r>
      <w:r>
        <w:rPr>
          <w:rFonts w:ascii="Palatino Linotype" w:hAnsi="Palatino Linotype" w:cs="Arial"/>
          <w:sz w:val="16"/>
        </w:rPr>
        <w:t>Constitution, Schedule V.</w:t>
      </w:r>
    </w:p>
  </w:footnote>
  <w:footnote w:id="2">
    <w:p w:rsidR="00036FF5" w:rsidRDefault="00036FF5" w:rsidP="00036FF5">
      <w:pPr>
        <w:pStyle w:val="FootnoteText"/>
        <w:rPr>
          <w:rFonts w:ascii="Arial" w:hAnsi="Arial" w:cs="Arial"/>
          <w:sz w:val="16"/>
        </w:rPr>
      </w:pPr>
      <w:r>
        <w:rPr>
          <w:rStyle w:val="FootnoteReference"/>
          <w:rFonts w:ascii="Palatino Linotype" w:hAnsi="Palatino Linotype" w:cs="Arial"/>
          <w:sz w:val="16"/>
        </w:rPr>
        <w:footnoteRef/>
      </w:r>
      <w:r>
        <w:rPr>
          <w:rFonts w:ascii="Palatino Linotype" w:hAnsi="Palatino Linotype" w:cs="Arial"/>
          <w:sz w:val="16"/>
        </w:rPr>
        <w:t xml:space="preserve"> Constitution, Schedule III, para 15.</w:t>
      </w:r>
    </w:p>
  </w:footnote>
  <w:footnote w:id="3">
    <w:p w:rsidR="00036FF5" w:rsidRDefault="00036FF5" w:rsidP="00036FF5">
      <w:pPr>
        <w:pStyle w:val="FootnoteText"/>
        <w:rPr>
          <w:rFonts w:ascii="Palatino Linotype" w:hAnsi="Palatino Linotype"/>
        </w:rPr>
      </w:pPr>
      <w:r>
        <w:rPr>
          <w:rStyle w:val="FootnoteReference"/>
          <w:rFonts w:ascii="Palatino Linotype" w:hAnsi="Palatino Linotype" w:cs="Arial"/>
          <w:sz w:val="16"/>
        </w:rPr>
        <w:footnoteRef/>
      </w:r>
      <w:r>
        <w:rPr>
          <w:rFonts w:ascii="Palatino Linotype" w:hAnsi="Palatino Linotype" w:cs="Arial"/>
          <w:sz w:val="16"/>
        </w:rPr>
        <w:t xml:space="preserve"> Constitution, Schedule III, para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75580"/>
    <w:multiLevelType w:val="hybridMultilevel"/>
    <w:tmpl w:val="1EBC577E"/>
    <w:lvl w:ilvl="0" w:tplc="0D164D2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FF5"/>
    <w:rsid w:val="00036FF5"/>
    <w:rsid w:val="000603FE"/>
    <w:rsid w:val="00192426"/>
    <w:rsid w:val="0022139C"/>
    <w:rsid w:val="00460784"/>
    <w:rsid w:val="005B2ACE"/>
    <w:rsid w:val="00775E6E"/>
    <w:rsid w:val="00876E6B"/>
    <w:rsid w:val="008C511F"/>
    <w:rsid w:val="009F6332"/>
    <w:rsid w:val="00B059D6"/>
    <w:rsid w:val="00BF1B2A"/>
    <w:rsid w:val="00C17DD7"/>
    <w:rsid w:val="00CD4D55"/>
    <w:rsid w:val="00D714D6"/>
    <w:rsid w:val="00F56A52"/>
    <w:rsid w:val="00FB4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32F04-1DE5-402B-91E4-83546199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FF5"/>
    <w:pPr>
      <w:spacing w:after="0" w:line="240" w:lineRule="auto"/>
    </w:pPr>
    <w:rPr>
      <w:rFonts w:ascii="Calibri" w:hAnsi="Calibri" w:cs="Calibri"/>
    </w:rPr>
  </w:style>
  <w:style w:type="paragraph" w:styleId="Heading3">
    <w:name w:val="heading 3"/>
    <w:basedOn w:val="Normal"/>
    <w:next w:val="Normal"/>
    <w:link w:val="Heading3Char"/>
    <w:semiHidden/>
    <w:unhideWhenUsed/>
    <w:qFormat/>
    <w:rsid w:val="00036FF5"/>
    <w:pPr>
      <w:keepNext/>
      <w:tabs>
        <w:tab w:val="right" w:pos="9356"/>
      </w:tabs>
      <w:jc w:val="center"/>
      <w:outlineLvl w:val="2"/>
    </w:pPr>
    <w:rPr>
      <w:rFonts w:ascii="Arial" w:eastAsia="Times New Roman" w:hAnsi="Arial" w:cs="Arial"/>
      <w:b/>
      <w:bCs/>
      <w:sz w:val="24"/>
      <w:szCs w:val="20"/>
    </w:rPr>
  </w:style>
  <w:style w:type="paragraph" w:styleId="Heading4">
    <w:name w:val="heading 4"/>
    <w:basedOn w:val="Normal"/>
    <w:next w:val="Normal"/>
    <w:link w:val="Heading4Char"/>
    <w:semiHidden/>
    <w:unhideWhenUsed/>
    <w:qFormat/>
    <w:rsid w:val="00036FF5"/>
    <w:pPr>
      <w:keepNext/>
      <w:tabs>
        <w:tab w:val="right" w:pos="9356"/>
      </w:tabs>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36FF5"/>
  </w:style>
  <w:style w:type="character" w:customStyle="1" w:styleId="Title2">
    <w:name w:val="Title2"/>
    <w:basedOn w:val="DefaultParagraphFont"/>
    <w:rsid w:val="00036FF5"/>
  </w:style>
  <w:style w:type="character" w:customStyle="1" w:styleId="Heading3Char">
    <w:name w:val="Heading 3 Char"/>
    <w:basedOn w:val="DefaultParagraphFont"/>
    <w:link w:val="Heading3"/>
    <w:semiHidden/>
    <w:rsid w:val="00036FF5"/>
    <w:rPr>
      <w:rFonts w:ascii="Arial" w:eastAsia="Times New Roman" w:hAnsi="Arial" w:cs="Arial"/>
      <w:b/>
      <w:bCs/>
      <w:sz w:val="24"/>
      <w:szCs w:val="20"/>
    </w:rPr>
  </w:style>
  <w:style w:type="character" w:customStyle="1" w:styleId="Heading4Char">
    <w:name w:val="Heading 4 Char"/>
    <w:basedOn w:val="DefaultParagraphFont"/>
    <w:link w:val="Heading4"/>
    <w:semiHidden/>
    <w:rsid w:val="00036FF5"/>
    <w:rPr>
      <w:rFonts w:ascii="Arial" w:eastAsia="Times New Roman" w:hAnsi="Arial" w:cs="Arial"/>
      <w:b/>
      <w:bCs/>
      <w:sz w:val="20"/>
      <w:szCs w:val="20"/>
    </w:rPr>
  </w:style>
  <w:style w:type="paragraph" w:styleId="FootnoteText">
    <w:name w:val="footnote text"/>
    <w:basedOn w:val="Normal"/>
    <w:link w:val="FootnoteTextChar"/>
    <w:semiHidden/>
    <w:unhideWhenUsed/>
    <w:rsid w:val="00036FF5"/>
    <w:pPr>
      <w:tabs>
        <w:tab w:val="right" w:pos="9356"/>
      </w:tabs>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36FF5"/>
    <w:rPr>
      <w:rFonts w:ascii="Times New Roman" w:eastAsia="Times New Roman" w:hAnsi="Times New Roman" w:cs="Times New Roman"/>
      <w:sz w:val="20"/>
      <w:szCs w:val="20"/>
    </w:rPr>
  </w:style>
  <w:style w:type="paragraph" w:styleId="Footer">
    <w:name w:val="footer"/>
    <w:basedOn w:val="Normal"/>
    <w:link w:val="FooterChar"/>
    <w:semiHidden/>
    <w:unhideWhenUsed/>
    <w:rsid w:val="00036FF5"/>
    <w:pPr>
      <w:tabs>
        <w:tab w:val="center" w:pos="4153"/>
        <w:tab w:val="right" w:pos="8306"/>
      </w:tabs>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036FF5"/>
    <w:rPr>
      <w:rFonts w:ascii="Times New Roman" w:eastAsia="Times New Roman" w:hAnsi="Times New Roman" w:cs="Times New Roman"/>
      <w:sz w:val="24"/>
      <w:szCs w:val="20"/>
    </w:rPr>
  </w:style>
  <w:style w:type="paragraph" w:styleId="BodyText">
    <w:name w:val="Body Text"/>
    <w:basedOn w:val="Normal"/>
    <w:link w:val="BodyTextChar"/>
    <w:unhideWhenUsed/>
    <w:rsid w:val="00036FF5"/>
    <w:pPr>
      <w:tabs>
        <w:tab w:val="right" w:pos="9356"/>
      </w:tabs>
      <w:jc w:val="both"/>
    </w:pPr>
    <w:rPr>
      <w:rFonts w:ascii="Arial" w:eastAsia="Times New Roman" w:hAnsi="Arial" w:cs="Arial"/>
      <w:sz w:val="18"/>
      <w:szCs w:val="20"/>
    </w:rPr>
  </w:style>
  <w:style w:type="character" w:customStyle="1" w:styleId="BodyTextChar">
    <w:name w:val="Body Text Char"/>
    <w:basedOn w:val="DefaultParagraphFont"/>
    <w:link w:val="BodyText"/>
    <w:rsid w:val="00036FF5"/>
    <w:rPr>
      <w:rFonts w:ascii="Arial" w:eastAsia="Times New Roman" w:hAnsi="Arial" w:cs="Arial"/>
      <w:sz w:val="18"/>
      <w:szCs w:val="20"/>
    </w:rPr>
  </w:style>
  <w:style w:type="paragraph" w:styleId="BodyTextIndent">
    <w:name w:val="Body Text Indent"/>
    <w:basedOn w:val="Normal"/>
    <w:link w:val="BodyTextIndentChar"/>
    <w:semiHidden/>
    <w:unhideWhenUsed/>
    <w:rsid w:val="00036FF5"/>
    <w:pPr>
      <w:tabs>
        <w:tab w:val="right" w:pos="9356"/>
      </w:tabs>
      <w:ind w:left="567" w:hanging="567"/>
      <w:jc w:val="both"/>
    </w:pPr>
    <w:rPr>
      <w:rFonts w:ascii="Arial" w:eastAsia="Times New Roman" w:hAnsi="Arial" w:cs="Arial"/>
      <w:sz w:val="18"/>
      <w:szCs w:val="20"/>
    </w:rPr>
  </w:style>
  <w:style w:type="character" w:customStyle="1" w:styleId="BodyTextIndentChar">
    <w:name w:val="Body Text Indent Char"/>
    <w:basedOn w:val="DefaultParagraphFont"/>
    <w:link w:val="BodyTextIndent"/>
    <w:semiHidden/>
    <w:rsid w:val="00036FF5"/>
    <w:rPr>
      <w:rFonts w:ascii="Arial" w:eastAsia="Times New Roman" w:hAnsi="Arial" w:cs="Arial"/>
      <w:sz w:val="18"/>
      <w:szCs w:val="20"/>
    </w:rPr>
  </w:style>
  <w:style w:type="paragraph" w:styleId="BodyTextIndent3">
    <w:name w:val="Body Text Indent 3"/>
    <w:basedOn w:val="Normal"/>
    <w:link w:val="BodyTextIndent3Char"/>
    <w:semiHidden/>
    <w:unhideWhenUsed/>
    <w:rsid w:val="00036FF5"/>
    <w:pPr>
      <w:tabs>
        <w:tab w:val="right" w:pos="9356"/>
      </w:tabs>
      <w:ind w:left="927" w:hanging="567"/>
      <w:jc w:val="both"/>
    </w:pPr>
    <w:rPr>
      <w:rFonts w:ascii="Arial" w:eastAsia="Times New Roman" w:hAnsi="Arial" w:cs="Arial"/>
      <w:sz w:val="18"/>
      <w:szCs w:val="20"/>
    </w:rPr>
  </w:style>
  <w:style w:type="character" w:customStyle="1" w:styleId="BodyTextIndent3Char">
    <w:name w:val="Body Text Indent 3 Char"/>
    <w:basedOn w:val="DefaultParagraphFont"/>
    <w:link w:val="BodyTextIndent3"/>
    <w:semiHidden/>
    <w:rsid w:val="00036FF5"/>
    <w:rPr>
      <w:rFonts w:ascii="Arial" w:eastAsia="Times New Roman" w:hAnsi="Arial" w:cs="Arial"/>
      <w:sz w:val="18"/>
      <w:szCs w:val="20"/>
    </w:rPr>
  </w:style>
  <w:style w:type="paragraph" w:customStyle="1" w:styleId="Default">
    <w:name w:val="Default"/>
    <w:rsid w:val="00036FF5"/>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styleId="FootnoteReference">
    <w:name w:val="footnote reference"/>
    <w:uiPriority w:val="99"/>
    <w:semiHidden/>
    <w:unhideWhenUsed/>
    <w:rsid w:val="00036FF5"/>
    <w:rPr>
      <w:vertAlign w:val="superscript"/>
    </w:rPr>
  </w:style>
  <w:style w:type="character" w:customStyle="1" w:styleId="CharacterStyle15">
    <w:name w:val="Character Style 15"/>
    <w:rsid w:val="00036FF5"/>
    <w:rPr>
      <w:rFonts w:ascii="Times New Roman" w:hAnsi="Times New Roman" w:cs="Times New Roman" w:hint="default"/>
      <w:sz w:val="20"/>
      <w:szCs w:val="20"/>
    </w:rPr>
  </w:style>
  <w:style w:type="character" w:customStyle="1" w:styleId="characterstyle150">
    <w:name w:val="characterstyle15"/>
    <w:rsid w:val="00036FF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51819">
      <w:bodyDiv w:val="1"/>
      <w:marLeft w:val="0"/>
      <w:marRight w:val="0"/>
      <w:marTop w:val="0"/>
      <w:marBottom w:val="0"/>
      <w:divBdr>
        <w:top w:val="none" w:sz="0" w:space="0" w:color="auto"/>
        <w:left w:val="none" w:sz="0" w:space="0" w:color="auto"/>
        <w:bottom w:val="none" w:sz="0" w:space="0" w:color="auto"/>
        <w:right w:val="none" w:sz="0" w:space="0" w:color="auto"/>
      </w:divBdr>
    </w:div>
    <w:div w:id="107192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Zara</dc:creator>
  <cp:keywords/>
  <dc:description/>
  <cp:lastModifiedBy>Wiebke Morgan</cp:lastModifiedBy>
  <cp:revision>2</cp:revision>
  <dcterms:created xsi:type="dcterms:W3CDTF">2019-08-12T09:18:00Z</dcterms:created>
  <dcterms:modified xsi:type="dcterms:W3CDTF">2019-08-12T09:18:00Z</dcterms:modified>
</cp:coreProperties>
</file>